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00" w:rsidRDefault="002A33B4">
      <w:pPr>
        <w:pStyle w:val="Default"/>
        <w:jc w:val="center"/>
      </w:pPr>
      <w:r>
        <w:t>V E R O R D N U N G</w:t>
      </w:r>
    </w:p>
    <w:p w:rsidR="00C55C00" w:rsidRDefault="00C55C00">
      <w:pPr>
        <w:pStyle w:val="Default"/>
        <w:rPr>
          <w:sz w:val="22"/>
          <w:szCs w:val="22"/>
        </w:rPr>
      </w:pPr>
    </w:p>
    <w:p w:rsidR="00C55C00" w:rsidRDefault="00C55C00">
      <w:pPr>
        <w:pStyle w:val="Default"/>
        <w:rPr>
          <w:sz w:val="22"/>
          <w:szCs w:val="22"/>
        </w:rPr>
      </w:pPr>
    </w:p>
    <w:p w:rsidR="00C55C00" w:rsidRDefault="002A33B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ZULASSUNGSVERFAHREN</w:t>
      </w:r>
    </w:p>
    <w:p w:rsidR="00C55C00" w:rsidRDefault="00C55C00">
      <w:pPr>
        <w:pStyle w:val="Default"/>
        <w:jc w:val="center"/>
        <w:rPr>
          <w:sz w:val="22"/>
          <w:szCs w:val="22"/>
        </w:rPr>
      </w:pPr>
    </w:p>
    <w:p w:rsidR="00C55C00" w:rsidRDefault="002A33B4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zur Aufnahme in das Bachelorstudium „Agrarpädagogik“</w:t>
      </w:r>
      <w:r w:rsidR="002C3551">
        <w:rPr>
          <w:b/>
          <w:bCs/>
          <w:color w:val="auto"/>
          <w:sz w:val="23"/>
          <w:szCs w:val="23"/>
        </w:rPr>
        <w:t xml:space="preserve"> für </w:t>
      </w:r>
      <w:proofErr w:type="spellStart"/>
      <w:r w:rsidR="002C3551">
        <w:rPr>
          <w:b/>
          <w:bCs/>
          <w:color w:val="auto"/>
          <w:sz w:val="23"/>
          <w:szCs w:val="23"/>
        </w:rPr>
        <w:t>MeisterInnen</w:t>
      </w:r>
      <w:proofErr w:type="spellEnd"/>
      <w:r w:rsidR="002C3551">
        <w:rPr>
          <w:b/>
          <w:bCs/>
          <w:color w:val="auto"/>
          <w:sz w:val="23"/>
          <w:szCs w:val="23"/>
        </w:rPr>
        <w:t xml:space="preserve"> und </w:t>
      </w:r>
      <w:proofErr w:type="spellStart"/>
      <w:r w:rsidR="002C3551">
        <w:rPr>
          <w:b/>
          <w:bCs/>
          <w:color w:val="auto"/>
          <w:sz w:val="23"/>
          <w:szCs w:val="23"/>
        </w:rPr>
        <w:t>AbsolventInnen</w:t>
      </w:r>
      <w:proofErr w:type="spellEnd"/>
      <w:r w:rsidR="002C3551">
        <w:rPr>
          <w:b/>
          <w:bCs/>
          <w:color w:val="auto"/>
          <w:sz w:val="23"/>
          <w:szCs w:val="23"/>
        </w:rPr>
        <w:t xml:space="preserve"> Höherer Land- und forstwirtschaftlicher Schulen mit einer mindestens 3-jährigen Berufspraxis</w:t>
      </w:r>
    </w:p>
    <w:p w:rsidR="00C55C00" w:rsidRDefault="00C55C00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:rsidR="00C55C00" w:rsidRDefault="00C55C00">
      <w:pPr>
        <w:pStyle w:val="Default"/>
        <w:rPr>
          <w:b/>
          <w:bCs/>
          <w:color w:val="auto"/>
          <w:sz w:val="23"/>
          <w:szCs w:val="23"/>
        </w:rPr>
      </w:pPr>
    </w:p>
    <w:p w:rsidR="00C55C00" w:rsidRDefault="00C55C00">
      <w:pPr>
        <w:pStyle w:val="Default"/>
        <w:rPr>
          <w:color w:val="auto"/>
          <w:sz w:val="23"/>
          <w:szCs w:val="23"/>
        </w:rPr>
      </w:pPr>
    </w:p>
    <w:p w:rsidR="00C55C00" w:rsidRDefault="002A33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Für die Aufnahme in das Bachelorstudium „Agrarpädagogik“ wird gem. § 50 Abs. 2. Hochschulgesetz 2005 </w:t>
      </w:r>
      <w:proofErr w:type="spellStart"/>
      <w:r>
        <w:rPr>
          <w:color w:val="auto"/>
          <w:sz w:val="22"/>
          <w:szCs w:val="22"/>
        </w:rPr>
        <w:t>i.d.g.F</w:t>
      </w:r>
      <w:proofErr w:type="spellEnd"/>
      <w:r>
        <w:rPr>
          <w:color w:val="auto"/>
          <w:sz w:val="22"/>
          <w:szCs w:val="22"/>
        </w:rPr>
        <w:t>., für den Fall, dass aus Platzgründen  nicht alle oben angeführte Antragstellerinnen bzw. Antragsteller zugelassen werden können, vom Rektorat der Hochschule folgende, für alle in gleicher Weise geltenden Zulassungskriterien, verordnet (</w:t>
      </w:r>
      <w:proofErr w:type="spellStart"/>
      <w:r>
        <w:rPr>
          <w:color w:val="auto"/>
          <w:sz w:val="22"/>
          <w:szCs w:val="22"/>
        </w:rPr>
        <w:t>Zl</w:t>
      </w:r>
      <w:proofErr w:type="spellEnd"/>
      <w:r>
        <w:rPr>
          <w:color w:val="auto"/>
          <w:sz w:val="22"/>
          <w:szCs w:val="22"/>
        </w:rPr>
        <w:t>. 1/201</w:t>
      </w:r>
      <w:r w:rsidR="002F1DEC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): </w:t>
      </w:r>
    </w:p>
    <w:p w:rsidR="00C55C00" w:rsidRDefault="00C55C00">
      <w:pPr>
        <w:pStyle w:val="Default"/>
        <w:rPr>
          <w:color w:val="auto"/>
          <w:sz w:val="22"/>
          <w:szCs w:val="22"/>
        </w:rPr>
      </w:pPr>
    </w:p>
    <w:p w:rsidR="00C55C00" w:rsidRDefault="002A33B4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Reihung erfolgt nach folgenden Kriterien: </w:t>
      </w:r>
    </w:p>
    <w:p w:rsidR="00C55C00" w:rsidRDefault="002D0FA1">
      <w:pPr>
        <w:pStyle w:val="Default"/>
        <w:numPr>
          <w:ilvl w:val="0"/>
          <w:numId w:val="6"/>
        </w:numPr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Erstgereiht </w:t>
      </w:r>
      <w:r w:rsidR="002A33B4">
        <w:rPr>
          <w:color w:val="auto"/>
          <w:sz w:val="22"/>
          <w:szCs w:val="22"/>
        </w:rPr>
        <w:t>werden Antragstellerinnen und Antragsteller, welche die  Eignungsvoraussetzungen gem</w:t>
      </w:r>
      <w:r w:rsidR="00CB43B3">
        <w:rPr>
          <w:color w:val="auto"/>
          <w:sz w:val="22"/>
          <w:szCs w:val="22"/>
        </w:rPr>
        <w:t>.</w:t>
      </w:r>
      <w:r w:rsidR="002A33B4">
        <w:rPr>
          <w:color w:val="auto"/>
          <w:sz w:val="22"/>
          <w:szCs w:val="22"/>
        </w:rPr>
        <w:t xml:space="preserve"> § 3 der Hochschul-Zulassungsverordnung (BGBl. II Nr. 112/2007 </w:t>
      </w:r>
      <w:proofErr w:type="spellStart"/>
      <w:r w:rsidR="002A33B4">
        <w:rPr>
          <w:color w:val="auto"/>
          <w:sz w:val="22"/>
          <w:szCs w:val="22"/>
        </w:rPr>
        <w:t>i.d.g.F</w:t>
      </w:r>
      <w:proofErr w:type="spellEnd"/>
      <w:r w:rsidR="002A33B4">
        <w:rPr>
          <w:color w:val="auto"/>
          <w:sz w:val="22"/>
          <w:szCs w:val="22"/>
        </w:rPr>
        <w:t xml:space="preserve">.) erfüllen </w:t>
      </w:r>
      <w:r w:rsidR="00381701">
        <w:rPr>
          <w:color w:val="auto"/>
          <w:sz w:val="22"/>
          <w:szCs w:val="22"/>
        </w:rPr>
        <w:t>und</w:t>
      </w:r>
      <w:r w:rsidR="002A33B4">
        <w:rPr>
          <w:color w:val="auto"/>
          <w:sz w:val="22"/>
          <w:szCs w:val="22"/>
        </w:rPr>
        <w:t xml:space="preserve"> in facheinschlägigen Berufsfeldern tätig sind. Nachgereiht werden Antragstellerinnen und Antragsteller, welche die Eignungsvoraussetzungen gem</w:t>
      </w:r>
      <w:r w:rsidR="004F43E7">
        <w:rPr>
          <w:color w:val="auto"/>
          <w:sz w:val="22"/>
          <w:szCs w:val="22"/>
        </w:rPr>
        <w:t>.</w:t>
      </w:r>
      <w:r w:rsidR="002A33B4">
        <w:rPr>
          <w:color w:val="auto"/>
          <w:sz w:val="22"/>
          <w:szCs w:val="22"/>
        </w:rPr>
        <w:t xml:space="preserve"> § 3 der Hochschul-Zulassungsverordnung erfüllen, wobei die Reihung nach dem gewichteten Mittel aus dem Notendurchschnitt im Reifeprüfungszeugnis</w:t>
      </w:r>
      <w:r w:rsidR="002F1DEC">
        <w:rPr>
          <w:color w:val="auto"/>
          <w:sz w:val="22"/>
          <w:szCs w:val="22"/>
        </w:rPr>
        <w:t xml:space="preserve"> oder Meisterprüfungszeugnis, der zurückgelegten einschlägigen Berufspraxis</w:t>
      </w:r>
      <w:r w:rsidR="002A33B4">
        <w:rPr>
          <w:color w:val="auto"/>
          <w:sz w:val="22"/>
          <w:szCs w:val="22"/>
        </w:rPr>
        <w:t xml:space="preserve"> sowie dem Ergebnis des Aufnahmeverfahrens erfolgt. </w:t>
      </w:r>
    </w:p>
    <w:p w:rsidR="00A1744B" w:rsidRDefault="00A1744B" w:rsidP="00A1744B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A1744B" w:rsidRDefault="00A1744B" w:rsidP="00A1744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Nach der in </w:t>
      </w:r>
      <w:proofErr w:type="spellStart"/>
      <w:r>
        <w:rPr>
          <w:color w:val="auto"/>
          <w:sz w:val="22"/>
          <w:szCs w:val="22"/>
        </w:rPr>
        <w:t>Zi</w:t>
      </w:r>
      <w:proofErr w:type="spellEnd"/>
      <w:r>
        <w:rPr>
          <w:color w:val="auto"/>
          <w:sz w:val="22"/>
          <w:szCs w:val="22"/>
        </w:rPr>
        <w:t>. 1 angeführten Regelung erfolgt die Reihung jener Antragstellerinnen bzw. Antragsteller, welche die Voraussetzungen gemäß Hochschul-Zulassungsverordnung v</w:t>
      </w:r>
      <w:r w:rsidR="00381701">
        <w:rPr>
          <w:color w:val="auto"/>
          <w:sz w:val="22"/>
          <w:szCs w:val="22"/>
        </w:rPr>
        <w:t>orerst nicht erfüllen</w:t>
      </w:r>
      <w:r>
        <w:rPr>
          <w:color w:val="auto"/>
          <w:sz w:val="22"/>
          <w:szCs w:val="22"/>
        </w:rPr>
        <w:t xml:space="preserve">. Die Reihung dieser Antragstellerinnen und Antragsteller erfolgt nach dem gewichteten Mittel aus dem Notendurchschnitt im Reifeprüfungszeugnis und dem Abschlusszeugnis sowie dem Ergebnis des Aufnahmeverfahrens. Sollte keine Reifeprüfung </w:t>
      </w:r>
      <w:r w:rsidR="00381701">
        <w:rPr>
          <w:color w:val="auto"/>
          <w:sz w:val="22"/>
          <w:szCs w:val="22"/>
        </w:rPr>
        <w:t xml:space="preserve">oder Meisterprüfung </w:t>
      </w:r>
      <w:r>
        <w:rPr>
          <w:color w:val="auto"/>
          <w:sz w:val="22"/>
          <w:szCs w:val="22"/>
        </w:rPr>
        <w:t xml:space="preserve">abgelegt worden sein, wird das Abschlusszeugnis der höchsten abgeschlossenen Schulstufe in Verbindung mit dem Aufnahmeverfahren herangezogen. </w:t>
      </w:r>
    </w:p>
    <w:p w:rsidR="00A1744B" w:rsidRDefault="00A1744B" w:rsidP="00A1744B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C55C00" w:rsidRDefault="00C55C00">
      <w:pPr>
        <w:pStyle w:val="Default"/>
        <w:rPr>
          <w:color w:val="auto"/>
          <w:sz w:val="22"/>
          <w:szCs w:val="22"/>
        </w:rPr>
      </w:pPr>
    </w:p>
    <w:p w:rsidR="00C55C00" w:rsidRDefault="002A33B4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Verordnung tritt mit dem Tag Ihrer Kundmachung in Kraft. </w:t>
      </w:r>
    </w:p>
    <w:p w:rsidR="00C55C00" w:rsidRDefault="00C55C00">
      <w:pPr>
        <w:pStyle w:val="Default"/>
        <w:rPr>
          <w:color w:val="auto"/>
          <w:sz w:val="22"/>
          <w:szCs w:val="22"/>
        </w:rPr>
      </w:pPr>
    </w:p>
    <w:p w:rsidR="00C55C00" w:rsidRDefault="00C55C00">
      <w:pPr>
        <w:pStyle w:val="Default"/>
        <w:rPr>
          <w:color w:val="auto"/>
          <w:sz w:val="22"/>
          <w:szCs w:val="22"/>
        </w:rPr>
      </w:pPr>
    </w:p>
    <w:p w:rsidR="00C55C00" w:rsidRDefault="002A33B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Dr. Thomas Haase</w:t>
      </w:r>
    </w:p>
    <w:p w:rsidR="00C55C00" w:rsidRDefault="002A33B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Rektor</w:t>
      </w:r>
    </w:p>
    <w:p w:rsidR="00C55C00" w:rsidRDefault="00C55C00">
      <w:pPr>
        <w:pStyle w:val="Default"/>
        <w:jc w:val="center"/>
        <w:rPr>
          <w:sz w:val="22"/>
          <w:szCs w:val="22"/>
        </w:rPr>
      </w:pPr>
    </w:p>
    <w:p w:rsidR="00C55C00" w:rsidRDefault="0038170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Dipl.-Ing.</w:t>
      </w:r>
      <w:r w:rsidR="00A82584" w:rsidRPr="00A82584">
        <w:rPr>
          <w:sz w:val="22"/>
          <w:szCs w:val="22"/>
          <w:vertAlign w:val="superscript"/>
        </w:rPr>
        <w:t>in</w:t>
      </w:r>
      <w:r>
        <w:rPr>
          <w:sz w:val="22"/>
          <w:szCs w:val="22"/>
        </w:rPr>
        <w:t xml:space="preserve"> Elisabeth </w:t>
      </w:r>
      <w:proofErr w:type="spellStart"/>
      <w:r>
        <w:rPr>
          <w:sz w:val="22"/>
          <w:szCs w:val="22"/>
        </w:rPr>
        <w:t>Hainfellner</w:t>
      </w:r>
      <w:proofErr w:type="spellEnd"/>
    </w:p>
    <w:p w:rsidR="00C55C00" w:rsidRDefault="002A33B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Vizerektorin</w:t>
      </w:r>
    </w:p>
    <w:p w:rsidR="00C55C00" w:rsidRDefault="00C55C00">
      <w:pPr>
        <w:jc w:val="center"/>
        <w:rPr>
          <w:rFonts w:ascii="Arial" w:hAnsi="Arial" w:cs="Arial"/>
          <w:sz w:val="22"/>
          <w:szCs w:val="22"/>
        </w:rPr>
      </w:pPr>
    </w:p>
    <w:p w:rsidR="00C55C00" w:rsidRDefault="002A33B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A82584">
        <w:rPr>
          <w:rFonts w:ascii="Arial" w:hAnsi="Arial" w:cs="Arial"/>
          <w:sz w:val="20"/>
        </w:rPr>
        <w:t>24</w:t>
      </w:r>
      <w:bookmarkStart w:id="0" w:name="_GoBack"/>
      <w:bookmarkEnd w:id="0"/>
      <w:r w:rsidR="00381701">
        <w:rPr>
          <w:rFonts w:ascii="Arial" w:hAnsi="Arial" w:cs="Arial"/>
          <w:sz w:val="20"/>
        </w:rPr>
        <w:t>. Februar 2017</w:t>
      </w:r>
    </w:p>
    <w:sectPr w:rsidR="00C55C00">
      <w:headerReference w:type="default" r:id="rId8"/>
      <w:footerReference w:type="default" r:id="rId9"/>
      <w:pgSz w:w="11906" w:h="16838" w:code="9"/>
      <w:pgMar w:top="1418" w:right="1106" w:bottom="1134" w:left="1134" w:header="53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8E" w:rsidRDefault="00A64B8E">
      <w:r>
        <w:separator/>
      </w:r>
    </w:p>
  </w:endnote>
  <w:endnote w:type="continuationSeparator" w:id="0">
    <w:p w:rsidR="00A64B8E" w:rsidRDefault="00A6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0"/>
      <w:gridCol w:w="1191"/>
      <w:gridCol w:w="851"/>
      <w:gridCol w:w="1247"/>
      <w:gridCol w:w="1247"/>
      <w:gridCol w:w="2098"/>
      <w:gridCol w:w="1985"/>
    </w:tblGrid>
    <w:tr w:rsidR="00C55C00">
      <w:trPr>
        <w:trHeight w:val="238"/>
        <w:jc w:val="center"/>
      </w:trPr>
      <w:tc>
        <w:tcPr>
          <w:tcW w:w="1100" w:type="dxa"/>
          <w:vMerge w:val="restart"/>
          <w:vAlign w:val="center"/>
        </w:tcPr>
        <w:p w:rsidR="00C55C00" w:rsidRDefault="002A33B4">
          <w:pPr>
            <w:pStyle w:val="Fuzeile"/>
            <w:ind w:left="170"/>
            <w:rPr>
              <w:rFonts w:ascii="Arial" w:hAnsi="Arial"/>
            </w:rPr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315595" cy="360680"/>
                <wp:effectExtent l="19050" t="0" r="8255" b="0"/>
                <wp:docPr id="2" name="Bild 2" descr="BND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ND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</w:tcPr>
        <w:p w:rsidR="00C55C00" w:rsidRDefault="00C55C00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5"/>
              <w:szCs w:val="15"/>
            </w:rPr>
          </w:pPr>
        </w:p>
      </w:tc>
      <w:tc>
        <w:tcPr>
          <w:tcW w:w="851" w:type="dxa"/>
          <w:shd w:val="clear" w:color="auto" w:fill="auto"/>
          <w:vAlign w:val="center"/>
        </w:tcPr>
        <w:p w:rsidR="00C55C00" w:rsidRDefault="00C55C00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5"/>
              <w:szCs w:val="15"/>
            </w:rPr>
          </w:pPr>
        </w:p>
      </w:tc>
      <w:tc>
        <w:tcPr>
          <w:tcW w:w="1247" w:type="dxa"/>
          <w:shd w:val="clear" w:color="auto" w:fill="auto"/>
          <w:vAlign w:val="center"/>
        </w:tcPr>
        <w:p w:rsidR="00C55C00" w:rsidRDefault="00C55C00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5"/>
              <w:szCs w:val="15"/>
            </w:rPr>
          </w:pPr>
        </w:p>
      </w:tc>
      <w:tc>
        <w:tcPr>
          <w:tcW w:w="1247" w:type="dxa"/>
          <w:shd w:val="clear" w:color="auto" w:fill="auto"/>
          <w:vAlign w:val="center"/>
        </w:tcPr>
        <w:p w:rsidR="00C55C00" w:rsidRDefault="00C55C00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5"/>
              <w:szCs w:val="15"/>
            </w:rPr>
          </w:pPr>
        </w:p>
      </w:tc>
      <w:tc>
        <w:tcPr>
          <w:tcW w:w="2098" w:type="dxa"/>
          <w:shd w:val="clear" w:color="auto" w:fill="auto"/>
          <w:vAlign w:val="center"/>
        </w:tcPr>
        <w:p w:rsidR="00C55C00" w:rsidRDefault="00C55C00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5"/>
              <w:szCs w:val="15"/>
            </w:rPr>
          </w:pPr>
        </w:p>
      </w:tc>
      <w:tc>
        <w:tcPr>
          <w:tcW w:w="1985" w:type="dxa"/>
          <w:shd w:val="clear" w:color="auto" w:fill="auto"/>
          <w:vAlign w:val="center"/>
        </w:tcPr>
        <w:p w:rsidR="00C55C00" w:rsidRDefault="00C55C00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5"/>
              <w:szCs w:val="15"/>
            </w:rPr>
          </w:pPr>
        </w:p>
      </w:tc>
    </w:tr>
    <w:tr w:rsidR="00C55C00">
      <w:trPr>
        <w:trHeight w:val="236"/>
        <w:jc w:val="center"/>
      </w:trPr>
      <w:tc>
        <w:tcPr>
          <w:tcW w:w="1100" w:type="dxa"/>
          <w:vMerge/>
          <w:vAlign w:val="center"/>
        </w:tcPr>
        <w:p w:rsidR="00C55C00" w:rsidRDefault="00C55C00">
          <w:pPr>
            <w:pStyle w:val="Fuzeile"/>
            <w:jc w:val="center"/>
          </w:pPr>
        </w:p>
      </w:tc>
      <w:tc>
        <w:tcPr>
          <w:tcW w:w="1191" w:type="dxa"/>
          <w:tcBorders>
            <w:right w:val="single" w:sz="4" w:space="0" w:color="auto"/>
          </w:tcBorders>
          <w:vAlign w:val="center"/>
        </w:tcPr>
        <w:p w:rsidR="00C55C00" w:rsidRDefault="002A33B4">
          <w:pPr>
            <w:pStyle w:val="Fuzeile"/>
            <w:spacing w:before="40" w:after="40"/>
            <w:rPr>
              <w:rFonts w:ascii="Arial Narrow" w:hAnsi="Arial Narrow" w:cs="Arial"/>
              <w:sz w:val="14"/>
              <w:szCs w:val="14"/>
            </w:rPr>
          </w:pPr>
          <w:proofErr w:type="spellStart"/>
          <w:r>
            <w:rPr>
              <w:rFonts w:ascii="Arial Narrow" w:hAnsi="Arial Narrow" w:cs="Arial"/>
              <w:sz w:val="14"/>
              <w:szCs w:val="14"/>
            </w:rPr>
            <w:t>Angermayergasse</w:t>
          </w:r>
          <w:proofErr w:type="spellEnd"/>
          <w:r>
            <w:rPr>
              <w:rFonts w:ascii="Arial Narrow" w:hAnsi="Arial Narrow" w:cs="Arial"/>
              <w:sz w:val="14"/>
              <w:szCs w:val="14"/>
            </w:rPr>
            <w:t xml:space="preserve"> 1</w:t>
          </w:r>
        </w:p>
      </w:tc>
      <w:tc>
        <w:tcPr>
          <w:tcW w:w="85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55C00" w:rsidRDefault="002A33B4">
          <w:pPr>
            <w:pStyle w:val="Fuzeile"/>
            <w:spacing w:before="40" w:after="40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A-1130 Wien</w:t>
          </w:r>
        </w:p>
      </w:tc>
      <w:tc>
        <w:tcPr>
          <w:tcW w:w="124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55C00" w:rsidRDefault="002A33B4">
          <w:pPr>
            <w:pStyle w:val="Fuzeile"/>
            <w:spacing w:before="40" w:after="40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b/>
              <w:sz w:val="14"/>
              <w:szCs w:val="14"/>
            </w:rPr>
            <w:t>T</w:t>
          </w:r>
          <w:r>
            <w:rPr>
              <w:rFonts w:ascii="Arial Narrow" w:hAnsi="Arial Narrow" w:cs="Arial"/>
              <w:sz w:val="14"/>
              <w:szCs w:val="14"/>
            </w:rPr>
            <w:t xml:space="preserve"> +43 (0)1 877 22 66</w:t>
          </w:r>
        </w:p>
      </w:tc>
      <w:tc>
        <w:tcPr>
          <w:tcW w:w="124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55C00" w:rsidRDefault="002A33B4">
          <w:pPr>
            <w:pStyle w:val="Fuzeile"/>
            <w:spacing w:before="40" w:after="40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b/>
              <w:sz w:val="14"/>
              <w:szCs w:val="14"/>
            </w:rPr>
            <w:t>F</w:t>
          </w:r>
          <w:r>
            <w:rPr>
              <w:rFonts w:ascii="Arial Narrow" w:hAnsi="Arial Narrow" w:cs="Arial"/>
              <w:sz w:val="14"/>
              <w:szCs w:val="14"/>
            </w:rPr>
            <w:t xml:space="preserve"> +43 (0)1 877 23 61</w:t>
          </w:r>
        </w:p>
      </w:tc>
      <w:tc>
        <w:tcPr>
          <w:tcW w:w="2098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55C00" w:rsidRDefault="002A33B4">
          <w:pPr>
            <w:pStyle w:val="Fuzeile"/>
            <w:spacing w:before="40" w:after="40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b/>
              <w:sz w:val="14"/>
              <w:szCs w:val="14"/>
            </w:rPr>
            <w:t>E</w:t>
          </w:r>
          <w:r>
            <w:rPr>
              <w:rFonts w:ascii="Arial Narrow" w:hAnsi="Arial Narrow" w:cs="Arial"/>
              <w:sz w:val="14"/>
              <w:szCs w:val="14"/>
            </w:rPr>
            <w:t xml:space="preserve"> </w:t>
          </w:r>
          <w:hyperlink r:id="rId2" w:history="1">
            <w:r>
              <w:rPr>
                <w:rStyle w:val="Hyperlink"/>
                <w:rFonts w:ascii="Arial Narrow" w:hAnsi="Arial Narrow" w:cs="Arial"/>
                <w:sz w:val="14"/>
                <w:szCs w:val="14"/>
              </w:rPr>
              <w:t>info@agrarumweltpaedagogik.ac.at</w:t>
            </w:r>
          </w:hyperlink>
        </w:p>
      </w:tc>
      <w:tc>
        <w:tcPr>
          <w:tcW w:w="1985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55C00" w:rsidRDefault="002A33B4">
          <w:pPr>
            <w:pStyle w:val="Fuzeile"/>
            <w:spacing w:before="40" w:after="40"/>
            <w:jc w:val="right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www.agrarumweltpaedagogik.ac.at</w:t>
          </w:r>
        </w:p>
      </w:tc>
    </w:tr>
    <w:tr w:rsidR="00C55C00">
      <w:trPr>
        <w:trHeight w:val="236"/>
        <w:jc w:val="center"/>
      </w:trPr>
      <w:tc>
        <w:tcPr>
          <w:tcW w:w="1100" w:type="dxa"/>
          <w:vMerge/>
          <w:vAlign w:val="center"/>
        </w:tcPr>
        <w:p w:rsidR="00C55C00" w:rsidRDefault="00C55C00">
          <w:pPr>
            <w:pStyle w:val="Fuzeile"/>
            <w:jc w:val="center"/>
          </w:pPr>
        </w:p>
      </w:tc>
      <w:tc>
        <w:tcPr>
          <w:tcW w:w="1191" w:type="dxa"/>
          <w:vAlign w:val="center"/>
        </w:tcPr>
        <w:p w:rsidR="00C55C00" w:rsidRDefault="00C55C00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5"/>
              <w:szCs w:val="15"/>
            </w:rPr>
          </w:pPr>
        </w:p>
      </w:tc>
      <w:tc>
        <w:tcPr>
          <w:tcW w:w="851" w:type="dxa"/>
          <w:shd w:val="clear" w:color="auto" w:fill="auto"/>
          <w:vAlign w:val="center"/>
        </w:tcPr>
        <w:p w:rsidR="00C55C00" w:rsidRDefault="00C55C00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5"/>
              <w:szCs w:val="15"/>
            </w:rPr>
          </w:pPr>
        </w:p>
      </w:tc>
      <w:tc>
        <w:tcPr>
          <w:tcW w:w="1247" w:type="dxa"/>
          <w:shd w:val="clear" w:color="auto" w:fill="auto"/>
          <w:vAlign w:val="center"/>
        </w:tcPr>
        <w:p w:rsidR="00C55C00" w:rsidRDefault="00C55C00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5"/>
              <w:szCs w:val="15"/>
            </w:rPr>
          </w:pPr>
        </w:p>
      </w:tc>
      <w:tc>
        <w:tcPr>
          <w:tcW w:w="1247" w:type="dxa"/>
          <w:shd w:val="clear" w:color="auto" w:fill="auto"/>
          <w:vAlign w:val="center"/>
        </w:tcPr>
        <w:p w:rsidR="00C55C00" w:rsidRDefault="00C55C00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5"/>
              <w:szCs w:val="15"/>
            </w:rPr>
          </w:pPr>
        </w:p>
      </w:tc>
      <w:tc>
        <w:tcPr>
          <w:tcW w:w="2098" w:type="dxa"/>
          <w:shd w:val="clear" w:color="auto" w:fill="auto"/>
          <w:vAlign w:val="center"/>
        </w:tcPr>
        <w:p w:rsidR="00C55C00" w:rsidRDefault="00C55C00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5"/>
              <w:szCs w:val="15"/>
            </w:rPr>
          </w:pPr>
        </w:p>
      </w:tc>
      <w:tc>
        <w:tcPr>
          <w:tcW w:w="1985" w:type="dxa"/>
          <w:shd w:val="clear" w:color="auto" w:fill="auto"/>
          <w:vAlign w:val="center"/>
        </w:tcPr>
        <w:p w:rsidR="00C55C00" w:rsidRDefault="00C55C00">
          <w:pPr>
            <w:pStyle w:val="Fuzeile"/>
            <w:spacing w:line="120" w:lineRule="exact"/>
            <w:jc w:val="center"/>
            <w:rPr>
              <w:rFonts w:ascii="Arial Narrow" w:hAnsi="Arial Narrow" w:cs="Arial"/>
              <w:sz w:val="15"/>
              <w:szCs w:val="15"/>
            </w:rPr>
          </w:pPr>
        </w:p>
      </w:tc>
    </w:tr>
  </w:tbl>
  <w:p w:rsidR="00C55C00" w:rsidRDefault="00C55C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8E" w:rsidRDefault="00A64B8E">
      <w:r>
        <w:separator/>
      </w:r>
    </w:p>
  </w:footnote>
  <w:footnote w:type="continuationSeparator" w:id="0">
    <w:p w:rsidR="00A64B8E" w:rsidRDefault="00A6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00" w:rsidRDefault="002A33B4" w:rsidP="00265F2D">
    <w:pPr>
      <w:pStyle w:val="Kopfzeile"/>
      <w:pBdr>
        <w:bottom w:val="single" w:sz="8" w:space="1" w:color="999999"/>
      </w:pBdr>
      <w:jc w:val="right"/>
    </w:pPr>
    <w:r>
      <w:t xml:space="preserve"> </w:t>
    </w:r>
    <w:r>
      <w:rPr>
        <w:noProof/>
        <w:lang w:val="de-AT" w:eastAsia="de-AT"/>
      </w:rPr>
      <w:drawing>
        <wp:inline distT="0" distB="0" distL="0" distR="0" wp14:anchorId="6CF038BD" wp14:editId="56BD8B77">
          <wp:extent cx="1178560" cy="798195"/>
          <wp:effectExtent l="19050" t="0" r="2540" b="0"/>
          <wp:docPr id="1" name="Bild 1" descr="Die WELLE für WORD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ie WELLE für WORD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C55C00" w:rsidRDefault="00C55C00">
    <w:pPr>
      <w:pStyle w:val="Kopfzeile"/>
      <w:pBdr>
        <w:bottom w:val="single" w:sz="8" w:space="1" w:color="999999"/>
      </w:pBdr>
      <w:rPr>
        <w:sz w:val="12"/>
        <w:szCs w:val="12"/>
      </w:rPr>
    </w:pPr>
  </w:p>
  <w:p w:rsidR="00C55C00" w:rsidRDefault="00C55C00">
    <w:pPr>
      <w:pStyle w:val="Kopfzeile"/>
      <w:rPr>
        <w:sz w:val="12"/>
        <w:szCs w:val="12"/>
      </w:rPr>
    </w:pPr>
  </w:p>
  <w:p w:rsidR="00C55C00" w:rsidRDefault="00C55C00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F01"/>
    <w:multiLevelType w:val="hybridMultilevel"/>
    <w:tmpl w:val="078E1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34FF"/>
    <w:multiLevelType w:val="hybridMultilevel"/>
    <w:tmpl w:val="D50E0D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27C8"/>
    <w:multiLevelType w:val="hybridMultilevel"/>
    <w:tmpl w:val="362463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3F81"/>
    <w:multiLevelType w:val="hybridMultilevel"/>
    <w:tmpl w:val="09EA9164"/>
    <w:lvl w:ilvl="0" w:tplc="95DECE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595FBB"/>
    <w:multiLevelType w:val="hybridMultilevel"/>
    <w:tmpl w:val="DBA851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3D5F"/>
    <w:multiLevelType w:val="hybridMultilevel"/>
    <w:tmpl w:val="51A6B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251C7"/>
    <w:multiLevelType w:val="hybridMultilevel"/>
    <w:tmpl w:val="06987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00"/>
    <w:rsid w:val="00042439"/>
    <w:rsid w:val="00103FA7"/>
    <w:rsid w:val="00265F2D"/>
    <w:rsid w:val="002A33B4"/>
    <w:rsid w:val="002C3551"/>
    <w:rsid w:val="002D0FA1"/>
    <w:rsid w:val="002F1DEC"/>
    <w:rsid w:val="00381701"/>
    <w:rsid w:val="004A0988"/>
    <w:rsid w:val="004F43E7"/>
    <w:rsid w:val="00A1744B"/>
    <w:rsid w:val="00A64B8E"/>
    <w:rsid w:val="00A82584"/>
    <w:rsid w:val="00BC3F40"/>
    <w:rsid w:val="00C55C00"/>
    <w:rsid w:val="00CB43B3"/>
    <w:rsid w:val="00D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B728DC"/>
  <w15:docId w15:val="{7E0B988F-3144-423B-918C-50E31607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rFonts w:ascii="Times" w:eastAsia="Times" w:hAnsi="Times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rief">
    <w:name w:val="Brief"/>
    <w:basedOn w:val="Standard"/>
    <w:pPr>
      <w:ind w:left="284" w:right="284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Pr>
      <w:rFonts w:ascii="Times" w:eastAsia="Times" w:hAnsi="Times"/>
      <w:sz w:val="26"/>
    </w:rPr>
  </w:style>
  <w:style w:type="paragraph" w:styleId="berarbeitung">
    <w:name w:val="Revision"/>
    <w:hidden/>
    <w:uiPriority w:val="99"/>
    <w:semiHidden/>
    <w:rsid w:val="00265F2D"/>
    <w:rPr>
      <w:rFonts w:ascii="Times" w:eastAsia="Times" w:hAnsi="Times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ochschule.ac.a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6FBC8-8FA4-4AFD-AB9F-A322DCBD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Manuel KREILER</vt:lpstr>
    </vt:vector>
  </TitlesOfParts>
  <Company>HAUP</Company>
  <LinksUpToDate>false</LinksUpToDate>
  <CharactersWithSpaces>1983</CharactersWithSpaces>
  <SharedDoc>false</SharedDoc>
  <HLinks>
    <vt:vector size="6" baseType="variant">
      <vt:variant>
        <vt:i4>6422555</vt:i4>
      </vt:variant>
      <vt:variant>
        <vt:i4>0</vt:i4>
      </vt:variant>
      <vt:variant>
        <vt:i4>0</vt:i4>
      </vt:variant>
      <vt:variant>
        <vt:i4>5</vt:i4>
      </vt:variant>
      <vt:variant>
        <vt:lpwstr>mailto:info@hochschule.ac.at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KREILER</dc:title>
  <dc:creator>Wendler</dc:creator>
  <cp:lastModifiedBy>Haase</cp:lastModifiedBy>
  <cp:revision>6</cp:revision>
  <cp:lastPrinted>2013-02-01T12:07:00Z</cp:lastPrinted>
  <dcterms:created xsi:type="dcterms:W3CDTF">2017-03-01T07:43:00Z</dcterms:created>
  <dcterms:modified xsi:type="dcterms:W3CDTF">2017-03-02T10:26:00Z</dcterms:modified>
</cp:coreProperties>
</file>