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50"/>
        <w:gridCol w:w="8922"/>
      </w:tblGrid>
      <w:tr w:rsidR="00D06AF9" w:rsidTr="00D06AF9">
        <w:tc>
          <w:tcPr>
            <w:tcW w:w="150" w:type="dxa"/>
            <w:shd w:val="clear" w:color="auto" w:fill="FABE00"/>
            <w:vAlign w:val="center"/>
            <w:hideMark/>
          </w:tcPr>
          <w:p w:rsidR="00D06AF9" w:rsidRDefault="00D06AF9">
            <w:pPr>
              <w:rPr>
                <w:rFonts w:ascii="Arial" w:hAnsi="Arial" w:cs="Arial"/>
                <w:sz w:val="23"/>
                <w:szCs w:val="23"/>
              </w:rPr>
            </w:pPr>
            <w:r>
              <w:rPr>
                <w:rFonts w:ascii="Arial" w:hAnsi="Arial" w:cs="Arial"/>
                <w:sz w:val="23"/>
                <w:szCs w:val="23"/>
              </w:rPr>
              <w:t>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7497"/>
              <w:gridCol w:w="1425"/>
            </w:tblGrid>
            <w:tr w:rsidR="00D06AF9">
              <w:trPr>
                <w:trHeight w:val="600"/>
              </w:trPr>
              <w:tc>
                <w:tcPr>
                  <w:tcW w:w="0" w:type="auto"/>
                  <w:shd w:val="clear" w:color="auto" w:fill="FABE00"/>
                  <w:vAlign w:val="bottom"/>
                  <w:hideMark/>
                </w:tcPr>
                <w:p w:rsidR="00D06AF9" w:rsidRDefault="00D06AF9">
                  <w:pPr>
                    <w:spacing w:line="15" w:lineRule="atLeast"/>
                    <w:rPr>
                      <w:rFonts w:ascii="Arial" w:hAnsi="Arial" w:cs="Arial"/>
                      <w:sz w:val="2"/>
                      <w:szCs w:val="2"/>
                    </w:rPr>
                  </w:pPr>
                  <w:r>
                    <w:rPr>
                      <w:rFonts w:ascii="Arial" w:hAnsi="Arial" w:cs="Arial"/>
                      <w:noProof/>
                      <w:sz w:val="2"/>
                      <w:szCs w:val="2"/>
                    </w:rPr>
                    <w:drawing>
                      <wp:inline distT="0" distB="0" distL="0" distR="0">
                        <wp:extent cx="790575" cy="285750"/>
                        <wp:effectExtent l="0" t="0" r="9525" b="0"/>
                        <wp:docPr id="2" name="Grafik 2" descr="Utl.: Referenten zeigen Trends der agrarischen Forschung 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l.: Referenten zeigen Trends der agrarischen Forschung au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p>
              </w:tc>
              <w:tc>
                <w:tcPr>
                  <w:tcW w:w="1425" w:type="dxa"/>
                  <w:shd w:val="clear" w:color="auto" w:fill="FABE00"/>
                  <w:vAlign w:val="bottom"/>
                  <w:hideMark/>
                </w:tcPr>
                <w:p w:rsidR="00D06AF9" w:rsidRDefault="00D06AF9">
                  <w:pPr>
                    <w:spacing w:line="15" w:lineRule="atLeast"/>
                    <w:jc w:val="right"/>
                    <w:rPr>
                      <w:rFonts w:ascii="Arial" w:hAnsi="Arial" w:cs="Arial"/>
                      <w:sz w:val="2"/>
                      <w:szCs w:val="2"/>
                    </w:rPr>
                  </w:pPr>
                  <w:r>
                    <w:rPr>
                      <w:rFonts w:ascii="Arial" w:hAnsi="Arial" w:cs="Arial"/>
                      <w:noProof/>
                      <w:sz w:val="2"/>
                      <w:szCs w:val="2"/>
                    </w:rPr>
                    <w:drawing>
                      <wp:inline distT="0" distB="0" distL="0" distR="0">
                        <wp:extent cx="428625" cy="85725"/>
                        <wp:effectExtent l="0" t="0" r="9525" b="9525"/>
                        <wp:docPr id="1" name="Grafik 1" descr="http://www.defacto.at/premium/suchmaschine/mail-templates/select-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acto.at/premium/suchmaschine/mail-templates/select-ne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85725"/>
                                </a:xfrm>
                                <a:prstGeom prst="rect">
                                  <a:avLst/>
                                </a:prstGeom>
                                <a:noFill/>
                                <a:ln>
                                  <a:noFill/>
                                </a:ln>
                              </pic:spPr>
                            </pic:pic>
                          </a:graphicData>
                        </a:graphic>
                      </wp:inline>
                    </w:drawing>
                  </w:r>
                </w:p>
              </w:tc>
            </w:tr>
            <w:tr w:rsidR="00D06AF9">
              <w:trPr>
                <w:trHeight w:val="150"/>
              </w:trPr>
              <w:tc>
                <w:tcPr>
                  <w:tcW w:w="0" w:type="auto"/>
                  <w:gridSpan w:val="2"/>
                  <w:shd w:val="clear" w:color="auto" w:fill="FABE00"/>
                  <w:vAlign w:val="center"/>
                  <w:hideMark/>
                </w:tcPr>
                <w:p w:rsidR="00D06AF9" w:rsidRDefault="00D06AF9">
                  <w:pPr>
                    <w:rPr>
                      <w:rFonts w:ascii="Arial" w:hAnsi="Arial" w:cs="Arial"/>
                      <w:sz w:val="2"/>
                      <w:szCs w:val="2"/>
                    </w:rPr>
                  </w:pPr>
                </w:p>
              </w:tc>
            </w:tr>
          </w:tbl>
          <w:p w:rsidR="00D06AF9" w:rsidRDefault="00D06AF9">
            <w:pPr>
              <w:rPr>
                <w:rFonts w:eastAsia="Times New Roman"/>
                <w:sz w:val="20"/>
                <w:szCs w:val="20"/>
              </w:rPr>
            </w:pPr>
          </w:p>
        </w:tc>
      </w:tr>
      <w:tr w:rsidR="00D06AF9" w:rsidTr="00D06AF9">
        <w:tc>
          <w:tcPr>
            <w:tcW w:w="0" w:type="auto"/>
            <w:vAlign w:val="center"/>
            <w:hideMark/>
          </w:tcPr>
          <w:p w:rsidR="00D06AF9" w:rsidRDefault="00D06AF9">
            <w:pPr>
              <w:rPr>
                <w:rFonts w:eastAsia="Times New Roman"/>
                <w:sz w:val="20"/>
                <w:szCs w:val="20"/>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799"/>
              <w:gridCol w:w="3123"/>
            </w:tblGrid>
            <w:tr w:rsidR="00D06AF9">
              <w:tc>
                <w:tcPr>
                  <w:tcW w:w="0" w:type="auto"/>
                  <w:tcMar>
                    <w:top w:w="300" w:type="dxa"/>
                    <w:left w:w="0" w:type="dxa"/>
                    <w:bottom w:w="0" w:type="dxa"/>
                    <w:right w:w="0" w:type="dxa"/>
                  </w:tcMar>
                  <w:vAlign w:val="center"/>
                  <w:hideMark/>
                </w:tcPr>
                <w:p w:rsidR="00D06AF9" w:rsidRDefault="00D06AF9">
                  <w:pPr>
                    <w:rPr>
                      <w:rFonts w:ascii="Arial" w:hAnsi="Arial" w:cs="Arial"/>
                      <w:sz w:val="23"/>
                      <w:szCs w:val="23"/>
                    </w:rPr>
                  </w:pPr>
                  <w:r>
                    <w:rPr>
                      <w:rFonts w:ascii="Arial" w:hAnsi="Arial" w:cs="Arial"/>
                      <w:sz w:val="23"/>
                      <w:szCs w:val="23"/>
                    </w:rPr>
                    <w:t>OTS0163 5 II 0264 MLA0003</w:t>
                  </w:r>
                </w:p>
              </w:tc>
              <w:tc>
                <w:tcPr>
                  <w:tcW w:w="0" w:type="auto"/>
                  <w:tcMar>
                    <w:top w:w="300" w:type="dxa"/>
                    <w:left w:w="0" w:type="dxa"/>
                    <w:bottom w:w="0" w:type="dxa"/>
                    <w:right w:w="0" w:type="dxa"/>
                  </w:tcMar>
                  <w:vAlign w:val="center"/>
                  <w:hideMark/>
                </w:tcPr>
                <w:p w:rsidR="00D06AF9" w:rsidRDefault="00D06AF9">
                  <w:pPr>
                    <w:jc w:val="right"/>
                    <w:rPr>
                      <w:rFonts w:ascii="Arial" w:hAnsi="Arial" w:cs="Arial"/>
                      <w:sz w:val="23"/>
                      <w:szCs w:val="23"/>
                    </w:rPr>
                  </w:pPr>
                  <w:r>
                    <w:rPr>
                      <w:rFonts w:ascii="Arial" w:hAnsi="Arial" w:cs="Arial"/>
                      <w:sz w:val="23"/>
                      <w:szCs w:val="23"/>
                    </w:rPr>
                    <w:t>Di, 08.Jän 2019</w:t>
                  </w:r>
                </w:p>
              </w:tc>
            </w:tr>
          </w:tbl>
          <w:p w:rsidR="00D06AF9" w:rsidRDefault="00D06AF9">
            <w:pPr>
              <w:rPr>
                <w:rFonts w:eastAsia="Times New Roman"/>
                <w:sz w:val="20"/>
                <w:szCs w:val="20"/>
              </w:rPr>
            </w:pPr>
          </w:p>
        </w:tc>
      </w:tr>
      <w:tr w:rsidR="00D06AF9" w:rsidTr="00D06AF9">
        <w:tc>
          <w:tcPr>
            <w:tcW w:w="0" w:type="auto"/>
            <w:vAlign w:val="center"/>
            <w:hideMark/>
          </w:tcPr>
          <w:p w:rsidR="00D06AF9" w:rsidRDefault="00D06AF9">
            <w:pPr>
              <w:rPr>
                <w:rFonts w:eastAsia="Times New Roman"/>
                <w:sz w:val="20"/>
                <w:szCs w:val="20"/>
              </w:rPr>
            </w:pPr>
          </w:p>
        </w:tc>
        <w:tc>
          <w:tcPr>
            <w:tcW w:w="0" w:type="auto"/>
            <w:tcMar>
              <w:top w:w="225" w:type="dxa"/>
              <w:left w:w="0" w:type="dxa"/>
              <w:bottom w:w="225" w:type="dxa"/>
              <w:right w:w="0" w:type="dxa"/>
            </w:tcMar>
            <w:vAlign w:val="center"/>
            <w:hideMark/>
          </w:tcPr>
          <w:p w:rsidR="00D06AF9" w:rsidRDefault="00D06AF9">
            <w:pPr>
              <w:pStyle w:val="StandardWeb"/>
              <w:spacing w:before="0" w:beforeAutospacing="0" w:after="75" w:afterAutospacing="0" w:line="345" w:lineRule="atLeast"/>
              <w:rPr>
                <w:rFonts w:ascii="Arial" w:hAnsi="Arial" w:cs="Arial"/>
                <w:color w:val="888F96"/>
                <w:sz w:val="23"/>
                <w:szCs w:val="23"/>
              </w:rPr>
            </w:pPr>
            <w:r>
              <w:rPr>
                <w:rFonts w:ascii="Arial" w:hAnsi="Arial" w:cs="Arial"/>
                <w:color w:val="888F96"/>
                <w:sz w:val="23"/>
                <w:szCs w:val="23"/>
              </w:rPr>
              <w:t>Hochschulwesen/Forschung/</w:t>
            </w:r>
            <w:proofErr w:type="spellStart"/>
            <w:r>
              <w:rPr>
                <w:rFonts w:ascii="Arial" w:hAnsi="Arial" w:cs="Arial"/>
                <w:color w:val="888F96"/>
                <w:sz w:val="23"/>
                <w:szCs w:val="23"/>
              </w:rPr>
              <w:t>Agrar</w:t>
            </w:r>
            <w:proofErr w:type="spellEnd"/>
            <w:r>
              <w:rPr>
                <w:rFonts w:ascii="Arial" w:hAnsi="Arial" w:cs="Arial"/>
                <w:color w:val="888F96"/>
                <w:sz w:val="23"/>
                <w:szCs w:val="23"/>
              </w:rPr>
              <w:t>/Umwelt/Bildung</w:t>
            </w:r>
          </w:p>
          <w:p w:rsidR="00D06AF9" w:rsidRDefault="00D06AF9">
            <w:pPr>
              <w:pStyle w:val="StandardWeb"/>
              <w:spacing w:before="0" w:beforeAutospacing="0" w:after="75" w:afterAutospacing="0" w:line="345" w:lineRule="atLeast"/>
              <w:rPr>
                <w:rFonts w:ascii="Arial" w:hAnsi="Arial" w:cs="Arial"/>
                <w:b/>
                <w:bCs/>
                <w:sz w:val="36"/>
                <w:szCs w:val="36"/>
              </w:rPr>
            </w:pPr>
            <w:r>
              <w:rPr>
                <w:rFonts w:ascii="Arial" w:hAnsi="Arial" w:cs="Arial"/>
                <w:b/>
                <w:bCs/>
                <w:sz w:val="36"/>
                <w:szCs w:val="36"/>
              </w:rPr>
              <w:t>PERSPEKTIVEN-TAG AN DER HOCHSCHULE FÜR AGRAR- UND UMWELTPÄDAGOGIK</w:t>
            </w:r>
          </w:p>
          <w:p w:rsidR="00D06AF9" w:rsidRDefault="00D06AF9">
            <w:pPr>
              <w:pStyle w:val="StandardWeb"/>
              <w:spacing w:before="0" w:beforeAutospacing="0" w:after="0" w:afterAutospacing="0" w:line="345" w:lineRule="atLeast"/>
              <w:rPr>
                <w:rFonts w:ascii="Arial" w:hAnsi="Arial" w:cs="Arial"/>
                <w:b/>
                <w:bCs/>
                <w:sz w:val="23"/>
                <w:szCs w:val="23"/>
              </w:rPr>
            </w:pPr>
            <w:r>
              <w:rPr>
                <w:rFonts w:ascii="Arial" w:hAnsi="Arial" w:cs="Arial"/>
                <w:b/>
                <w:bCs/>
                <w:sz w:val="23"/>
                <w:szCs w:val="23"/>
              </w:rPr>
              <w:t>Utl.: Referenten zeigen Trends der agrarischen Forschung auf</w:t>
            </w:r>
          </w:p>
          <w:p w:rsidR="00D06AF9" w:rsidRDefault="00D06AF9">
            <w:pPr>
              <w:pStyle w:val="StandardWeb"/>
              <w:spacing w:line="345" w:lineRule="atLeast"/>
              <w:rPr>
                <w:rFonts w:ascii="Arial" w:hAnsi="Arial" w:cs="Arial"/>
                <w:sz w:val="23"/>
                <w:szCs w:val="23"/>
              </w:rPr>
            </w:pPr>
            <w:r>
              <w:rPr>
                <w:rFonts w:ascii="Arial" w:hAnsi="Arial" w:cs="Arial"/>
                <w:sz w:val="23"/>
                <w:szCs w:val="23"/>
              </w:rPr>
              <w:t>Wien (OTS) - Am 9. Jänner 2019 findet ab 13:00 Uhr der Perspektiven-Tag an der Hochschule statt, bei dem die Vielfalt an Forschungsfeldern aber auch aktuelle Themen der Forschungen aufgezeigt werden. Auf dem Programm stehen Vorträge, die inhaltlich die Trends der aktuellen Forschungen im land- und forstwirtschaftlichen Schulwesen und der Hochschule abbildet.</w:t>
            </w:r>
          </w:p>
          <w:p w:rsidR="00D06AF9" w:rsidRDefault="00D06AF9">
            <w:pPr>
              <w:pStyle w:val="StandardWeb"/>
              <w:spacing w:line="345" w:lineRule="atLeast"/>
              <w:rPr>
                <w:rFonts w:ascii="Arial" w:hAnsi="Arial" w:cs="Arial"/>
                <w:sz w:val="23"/>
                <w:szCs w:val="23"/>
              </w:rPr>
            </w:pPr>
            <w:r>
              <w:rPr>
                <w:rFonts w:ascii="Arial" w:hAnsi="Arial" w:cs="Arial"/>
                <w:sz w:val="23"/>
                <w:szCs w:val="23"/>
              </w:rPr>
              <w:t xml:space="preserve">„Für den gesamten Agrarbereich ist ein effizientes Bildungs- und Beratungswesen von großer Bedeutung. Grundlage für Weiterentwicklung im Bildungssystem ist die Forschung. Deshalb holt die  Hochschule für Agrar- und Umweltpädagogik die Trends in der agrarischen Forschung vor den Vorhang“, erklärt Nachhaltigkeitsministerin Elisabeth </w:t>
            </w:r>
            <w:proofErr w:type="spellStart"/>
            <w:r>
              <w:rPr>
                <w:rFonts w:ascii="Arial" w:hAnsi="Arial" w:cs="Arial"/>
                <w:sz w:val="23"/>
                <w:szCs w:val="23"/>
              </w:rPr>
              <w:t>Köstinger</w:t>
            </w:r>
            <w:proofErr w:type="spellEnd"/>
            <w:r>
              <w:rPr>
                <w:rFonts w:ascii="Arial" w:hAnsi="Arial" w:cs="Arial"/>
                <w:sz w:val="23"/>
                <w:szCs w:val="23"/>
              </w:rPr>
              <w:t>.</w:t>
            </w:r>
          </w:p>
          <w:p w:rsidR="00D06AF9" w:rsidRDefault="00D06AF9">
            <w:pPr>
              <w:pStyle w:val="StandardWeb"/>
              <w:spacing w:line="345" w:lineRule="atLeast"/>
              <w:rPr>
                <w:rFonts w:ascii="Arial" w:hAnsi="Arial" w:cs="Arial"/>
                <w:sz w:val="23"/>
                <w:szCs w:val="23"/>
              </w:rPr>
            </w:pPr>
            <w:r>
              <w:rPr>
                <w:rFonts w:ascii="Arial" w:hAnsi="Arial" w:cs="Arial"/>
                <w:sz w:val="23"/>
                <w:szCs w:val="23"/>
              </w:rPr>
              <w:t>Rektor Thomas Haase ergänzt: „Die betriebliche Vielfalt in Österreich spiegelt sich auch in der Breite der Bildungs- und Beratungsangebote wider. Mit dem Perspektiventag zu Beginn des neuen Jahres beleuchten wir die Trends, die 2019 und darüber hinaus die agrarische Forschungslandschaft prägen werden.“</w:t>
            </w:r>
          </w:p>
          <w:p w:rsidR="00D06AF9" w:rsidRDefault="00D06AF9">
            <w:pPr>
              <w:pStyle w:val="StandardWeb"/>
              <w:spacing w:line="345" w:lineRule="atLeast"/>
              <w:rPr>
                <w:rFonts w:ascii="Arial" w:hAnsi="Arial" w:cs="Arial"/>
                <w:sz w:val="23"/>
                <w:szCs w:val="23"/>
              </w:rPr>
            </w:pPr>
            <w:r>
              <w:rPr>
                <w:rFonts w:ascii="Arial" w:hAnsi="Arial" w:cs="Arial"/>
                <w:sz w:val="23"/>
                <w:szCs w:val="23"/>
              </w:rPr>
              <w:t xml:space="preserve">Die Vorträge spannen einen weiten Bogen von Trends in der Weinproduktion über digitale, wettbewerbsfähige Landwirtschaft und Klimawandel bis hin zu Green </w:t>
            </w:r>
            <w:proofErr w:type="spellStart"/>
            <w:r>
              <w:rPr>
                <w:rFonts w:ascii="Arial" w:hAnsi="Arial" w:cs="Arial"/>
                <w:sz w:val="23"/>
                <w:szCs w:val="23"/>
              </w:rPr>
              <w:t>Care</w:t>
            </w:r>
            <w:proofErr w:type="spellEnd"/>
            <w:r>
              <w:rPr>
                <w:rFonts w:ascii="Arial" w:hAnsi="Arial" w:cs="Arial"/>
                <w:sz w:val="23"/>
                <w:szCs w:val="23"/>
              </w:rPr>
              <w:t xml:space="preserve"> und </w:t>
            </w:r>
            <w:proofErr w:type="spellStart"/>
            <w:r>
              <w:rPr>
                <w:rFonts w:ascii="Arial" w:hAnsi="Arial" w:cs="Arial"/>
                <w:sz w:val="23"/>
                <w:szCs w:val="23"/>
              </w:rPr>
              <w:t>Ernährungstrends</w:t>
            </w:r>
            <w:proofErr w:type="spellEnd"/>
            <w:r>
              <w:rPr>
                <w:rFonts w:ascii="Arial" w:hAnsi="Arial" w:cs="Arial"/>
                <w:sz w:val="23"/>
                <w:szCs w:val="23"/>
              </w:rPr>
              <w:t xml:space="preserve">. </w:t>
            </w:r>
          </w:p>
          <w:p w:rsidR="00D06AF9" w:rsidRDefault="00D06AF9">
            <w:pPr>
              <w:pStyle w:val="StandardWeb"/>
              <w:spacing w:line="345" w:lineRule="atLeast"/>
              <w:rPr>
                <w:rFonts w:ascii="Arial" w:hAnsi="Arial" w:cs="Arial"/>
                <w:sz w:val="23"/>
                <w:szCs w:val="23"/>
              </w:rPr>
            </w:pPr>
            <w:r>
              <w:rPr>
                <w:rFonts w:ascii="Arial" w:hAnsi="Arial" w:cs="Arial"/>
                <w:sz w:val="23"/>
                <w:szCs w:val="23"/>
              </w:rPr>
              <w:t xml:space="preserve">Alle Beiträge werden aufgezeichnet und als kurze Impulsvorträge bereitgestellt. Auf diese Weise werden vertiefende Einblicke in aktuelle Forschungsthemen und in die Trends und Entwicklungen im Agar- und Umweltbereich geboten. </w:t>
            </w:r>
          </w:p>
          <w:p w:rsidR="00D06AF9" w:rsidRDefault="00D06AF9">
            <w:pPr>
              <w:pStyle w:val="StandardWeb"/>
              <w:spacing w:line="345" w:lineRule="atLeast"/>
              <w:rPr>
                <w:rFonts w:ascii="Arial" w:hAnsi="Arial" w:cs="Arial"/>
                <w:sz w:val="23"/>
                <w:szCs w:val="23"/>
              </w:rPr>
            </w:pPr>
            <w:r>
              <w:rPr>
                <w:rFonts w:ascii="Arial" w:hAnsi="Arial" w:cs="Arial"/>
                <w:sz w:val="23"/>
                <w:szCs w:val="23"/>
              </w:rPr>
              <w:t xml:space="preserve">Die Referenten forschen an der Hochschule für Agrar- und </w:t>
            </w:r>
            <w:proofErr w:type="spellStart"/>
            <w:r>
              <w:rPr>
                <w:rFonts w:ascii="Arial" w:hAnsi="Arial" w:cs="Arial"/>
                <w:sz w:val="23"/>
                <w:szCs w:val="23"/>
              </w:rPr>
              <w:t>Umweltpädagogik</w:t>
            </w:r>
            <w:proofErr w:type="spellEnd"/>
            <w:r>
              <w:rPr>
                <w:rFonts w:ascii="Arial" w:hAnsi="Arial" w:cs="Arial"/>
                <w:sz w:val="23"/>
                <w:szCs w:val="23"/>
              </w:rPr>
              <w:t xml:space="preserve"> (Dorit Haubenhofer, Leopold Kirner, Willi Linder, Birgit Steininger), HBLFA Francisco </w:t>
            </w:r>
            <w:proofErr w:type="spellStart"/>
            <w:r>
              <w:rPr>
                <w:rFonts w:ascii="Arial" w:hAnsi="Arial" w:cs="Arial"/>
                <w:sz w:val="23"/>
                <w:szCs w:val="23"/>
              </w:rPr>
              <w:t>Josephinum</w:t>
            </w:r>
            <w:proofErr w:type="spellEnd"/>
            <w:r>
              <w:rPr>
                <w:rFonts w:ascii="Arial" w:hAnsi="Arial" w:cs="Arial"/>
                <w:sz w:val="23"/>
                <w:szCs w:val="23"/>
              </w:rPr>
              <w:t xml:space="preserve"> </w:t>
            </w:r>
            <w:proofErr w:type="spellStart"/>
            <w:r>
              <w:rPr>
                <w:rFonts w:ascii="Arial" w:hAnsi="Arial" w:cs="Arial"/>
                <w:sz w:val="23"/>
                <w:szCs w:val="23"/>
              </w:rPr>
              <w:t>Wieselburg</w:t>
            </w:r>
            <w:proofErr w:type="spellEnd"/>
            <w:r>
              <w:rPr>
                <w:rFonts w:ascii="Arial" w:hAnsi="Arial" w:cs="Arial"/>
                <w:sz w:val="23"/>
                <w:szCs w:val="23"/>
              </w:rPr>
              <w:t xml:space="preserve"> (Jürgen Karner, Martin </w:t>
            </w:r>
            <w:proofErr w:type="spellStart"/>
            <w:r>
              <w:rPr>
                <w:rFonts w:ascii="Arial" w:hAnsi="Arial" w:cs="Arial"/>
                <w:sz w:val="23"/>
                <w:szCs w:val="23"/>
              </w:rPr>
              <w:t>Rogenhofer</w:t>
            </w:r>
            <w:proofErr w:type="spellEnd"/>
            <w:r>
              <w:rPr>
                <w:rFonts w:ascii="Arial" w:hAnsi="Arial" w:cs="Arial"/>
                <w:sz w:val="23"/>
                <w:szCs w:val="23"/>
              </w:rPr>
              <w:t xml:space="preserve">), HBLA und BA Klosterneuburg (Franz G. Rosner, Harald </w:t>
            </w:r>
            <w:proofErr w:type="spellStart"/>
            <w:r>
              <w:rPr>
                <w:rFonts w:ascii="Arial" w:hAnsi="Arial" w:cs="Arial"/>
                <w:sz w:val="23"/>
                <w:szCs w:val="23"/>
              </w:rPr>
              <w:t>Scheiblhofer</w:t>
            </w:r>
            <w:proofErr w:type="spellEnd"/>
            <w:r>
              <w:rPr>
                <w:rFonts w:ascii="Arial" w:hAnsi="Arial" w:cs="Arial"/>
                <w:sz w:val="23"/>
                <w:szCs w:val="23"/>
              </w:rPr>
              <w:t>), HBFLA Raumberg-</w:t>
            </w:r>
            <w:proofErr w:type="spellStart"/>
            <w:r>
              <w:rPr>
                <w:rFonts w:ascii="Arial" w:hAnsi="Arial" w:cs="Arial"/>
                <w:sz w:val="23"/>
                <w:szCs w:val="23"/>
              </w:rPr>
              <w:t>Gumpenstein</w:t>
            </w:r>
            <w:proofErr w:type="spellEnd"/>
            <w:r>
              <w:rPr>
                <w:rFonts w:ascii="Arial" w:hAnsi="Arial" w:cs="Arial"/>
                <w:sz w:val="23"/>
                <w:szCs w:val="23"/>
              </w:rPr>
              <w:t xml:space="preserve"> (Veronika </w:t>
            </w:r>
            <w:proofErr w:type="spellStart"/>
            <w:r>
              <w:rPr>
                <w:rFonts w:ascii="Arial" w:hAnsi="Arial" w:cs="Arial"/>
                <w:sz w:val="23"/>
                <w:szCs w:val="23"/>
              </w:rPr>
              <w:t>Slawitsch</w:t>
            </w:r>
            <w:proofErr w:type="spellEnd"/>
            <w:r>
              <w:rPr>
                <w:rFonts w:ascii="Arial" w:hAnsi="Arial" w:cs="Arial"/>
                <w:sz w:val="23"/>
                <w:szCs w:val="23"/>
              </w:rPr>
              <w:t>).</w:t>
            </w:r>
          </w:p>
          <w:p w:rsidR="00D06AF9" w:rsidRDefault="00D06AF9">
            <w:pPr>
              <w:pStyle w:val="HTMLVorformatiert"/>
              <w:spacing w:line="345" w:lineRule="atLeast"/>
            </w:pPr>
            <w:r>
              <w:lastRenderedPageBreak/>
              <w:t>Rückfragehinweis:</w:t>
            </w:r>
          </w:p>
          <w:p w:rsidR="00D06AF9" w:rsidRDefault="00D06AF9">
            <w:pPr>
              <w:pStyle w:val="HTMLVorformatiert"/>
              <w:spacing w:line="345" w:lineRule="atLeast"/>
            </w:pPr>
            <w:r>
              <w:t>Bundesministerium für Nachhaltigkeit und Tourismus</w:t>
            </w:r>
          </w:p>
          <w:p w:rsidR="00D06AF9" w:rsidRDefault="00D06AF9">
            <w:pPr>
              <w:pStyle w:val="HTMLVorformatiert"/>
              <w:spacing w:line="345" w:lineRule="atLeast"/>
            </w:pPr>
            <w:r>
              <w:t>Michael Strasser</w:t>
            </w:r>
          </w:p>
          <w:p w:rsidR="00D06AF9" w:rsidRDefault="00D06AF9">
            <w:pPr>
              <w:pStyle w:val="HTMLVorformatiert"/>
              <w:spacing w:line="345" w:lineRule="atLeast"/>
            </w:pPr>
            <w:r>
              <w:t>Pressesprecher der Bundesministerin</w:t>
            </w:r>
          </w:p>
          <w:p w:rsidR="00D06AF9" w:rsidRDefault="00D06AF9">
            <w:pPr>
              <w:pStyle w:val="HTMLVorformatiert"/>
              <w:spacing w:line="345" w:lineRule="atLeast"/>
            </w:pPr>
            <w:r>
              <w:t>+43 1 71100 - DW 606716</w:t>
            </w:r>
          </w:p>
          <w:p w:rsidR="00D06AF9" w:rsidRDefault="00D06AF9">
            <w:pPr>
              <w:pStyle w:val="HTMLVorformatiert"/>
              <w:spacing w:line="345" w:lineRule="atLeast"/>
            </w:pPr>
            <w:hyperlink r:id="rId6" w:history="1">
              <w:r>
                <w:rPr>
                  <w:rStyle w:val="Hyperlink"/>
                </w:rPr>
                <w:t>michael.strasser@bmnt.gv.at</w:t>
              </w:r>
            </w:hyperlink>
          </w:p>
          <w:p w:rsidR="00D06AF9" w:rsidRDefault="00D06AF9">
            <w:pPr>
              <w:pStyle w:val="HTMLVorformatiert"/>
              <w:spacing w:line="345" w:lineRule="atLeast"/>
            </w:pPr>
            <w:hyperlink r:id="rId7" w:history="1">
              <w:r>
                <w:rPr>
                  <w:rStyle w:val="Hyperlink"/>
                </w:rPr>
                <w:t>http://bmnt.gv.at</w:t>
              </w:r>
            </w:hyperlink>
          </w:p>
        </w:tc>
      </w:tr>
    </w:tbl>
    <w:p w:rsidR="007C0EE5" w:rsidRDefault="00D06AF9">
      <w:bookmarkStart w:id="0" w:name="_GoBack"/>
      <w:bookmarkEnd w:id="0"/>
    </w:p>
    <w:sectPr w:rsidR="007C0E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F9"/>
    <w:rsid w:val="000E2AD9"/>
    <w:rsid w:val="003E49C8"/>
    <w:rsid w:val="00D06A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55547-82D1-4071-8C4F-D7813ED7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AF9"/>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6AF9"/>
    <w:rPr>
      <w:color w:val="888F96"/>
      <w:u w:val="single"/>
    </w:rPr>
  </w:style>
  <w:style w:type="paragraph" w:styleId="HTMLVorformatiert">
    <w:name w:val="HTML Preformatted"/>
    <w:basedOn w:val="Standard"/>
    <w:link w:val="HTMLVorformatiertZchn"/>
    <w:uiPriority w:val="99"/>
    <w:semiHidden/>
    <w:unhideWhenUsed/>
    <w:rsid w:val="00D06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06AF9"/>
    <w:rPr>
      <w:rFonts w:ascii="Courier New" w:hAnsi="Courier New" w:cs="Courier New"/>
      <w:sz w:val="20"/>
      <w:szCs w:val="20"/>
      <w:lang w:eastAsia="de-AT"/>
    </w:rPr>
  </w:style>
  <w:style w:type="paragraph" w:styleId="StandardWeb">
    <w:name w:val="Normal (Web)"/>
    <w:basedOn w:val="Standard"/>
    <w:uiPriority w:val="99"/>
    <w:semiHidden/>
    <w:unhideWhenUsed/>
    <w:rsid w:val="00D06A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nt.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strasser@bmnt.gv.a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für Agrar- und Umweltpädagogik</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raphaela.kitzmantel</dc:creator>
  <cp:keywords/>
  <dc:description/>
  <cp:lastModifiedBy>raphaela.kitzmantel</cp:lastModifiedBy>
  <cp:revision>1</cp:revision>
  <dcterms:created xsi:type="dcterms:W3CDTF">2019-01-14T12:14:00Z</dcterms:created>
  <dcterms:modified xsi:type="dcterms:W3CDTF">2019-01-14T12:14:00Z</dcterms:modified>
</cp:coreProperties>
</file>